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II - </w:t>
      </w:r>
      <w:r w:rsidDel="00000000" w:rsidR="00000000" w:rsidRPr="00000000">
        <w:rPr>
          <w:b w:val="1"/>
          <w:bCs w:val="1"/>
          <w:sz w:val="24"/>
          <w:szCs w:val="24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margin">
              <wp:posOffset>0</wp:posOffset>
            </wp:positionH>
            <wp:positionV relativeFrom="page">
              <wp:posOffset>914400</wp:posOffset>
            </wp:positionV>
            <wp:extent cx="2206702" cy="462891"/>
            <wp:effectExtent b="0" l="0" r="0" t="0"/>
            <wp:wrapSquare wrapText="bothSides" distB="152400" distT="152400" distL="152400" distR="152400"/>
            <wp:docPr descr="IT-Cofinanziato-dallUnione-europea_POS-scaled.jpg" id="1" name="image1.jpg"/>
            <a:graphic>
              <a:graphicData uri="http://schemas.openxmlformats.org/drawingml/2006/picture">
                <pic:pic>
                  <pic:nvPicPr>
                    <pic:cNvPr descr="IT-Cofinanziato-dallUnione-europea_POS-scaled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6702" cy="4628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Vademecum Selezione Studenti Erasmus+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Premessa</w:t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La graduatoria costituisce uno strumento di priorità nella selezione. L'assegnazione definitiva delle mobilità potrà tuttavia essere subordinata ai requisiti richiesti dalle scuole partner, alle caratteristiche del progetto e alla compatibilità anagrafica, linguistica o didattica degli studenti coinvolti. Pertanto, in funzione delle richieste delle scuole ospitanti, potranno essere individuati studenti appartenenti a specifiche fasce d'età o classi, anche in deroga all'ordine generale della graduatoria.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Requisiti di ammissibilità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Media scolastica non inferiore a 7/10.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Condotta non inferiore a 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rtl w:val="0"/>
        </w:rPr>
        <w:t xml:space="preserve">/10.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Non più di una insufficienza nello scrutinio intermedio o finale, rispetto alla data di partenza</w:t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Criterio di esclusione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Se al momento della prenotazione del viaggio il numero di insufficienze dello studente è maggiore di 1 lo studente non viene ammesso all'esperienza.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20"/>
        <w:gridCol w:w="3780"/>
        <w:tblGridChange w:id="0">
          <w:tblGrid>
            <w:gridCol w:w="5220"/>
            <w:gridCol w:w="37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Punteggio massimo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Disponibilità all’ospitalità di uno o più alunni delle scuole partner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Ospitalità già effettuata nell’a.s. 25/26 senza essere partiti a propria volta in mobilità Erasmus+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Profitto scolastico: graduatoria ordinata direttamente per media scolastica.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parità di punteggio, si valuta la media nelle materie di indirizzo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parità di media nelle materie di indirizzo si valuta il voto di inglese.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25 x (media/10)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Certificazioni linguistiche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*Saranno prese in considerazione esclusivamente qualora la mobilità sia destinata a un Paese in cui la lingua certificata sia utilizzata come lingua di comunicazione.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CAE: 6       FCE: 4      PET: 2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Certificazione in altra lingua* B2: 4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Certificazione in altra lingua* B1: 2</w:t>
            </w:r>
          </w:p>
        </w:tc>
      </w:tr>
    </w:tbl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