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B443" w14:textId="43874A07" w:rsidR="00942FAB" w:rsidRDefault="00942FAB" w:rsidP="00942FAB">
      <w:pPr>
        <w:jc w:val="center"/>
        <w:rPr>
          <w:b/>
          <w:bCs/>
          <w:sz w:val="36"/>
          <w:szCs w:val="36"/>
        </w:rPr>
      </w:pPr>
      <w:r w:rsidRPr="00942FAB">
        <w:rPr>
          <w:b/>
          <w:bCs/>
          <w:sz w:val="36"/>
          <w:szCs w:val="36"/>
        </w:rPr>
        <w:drawing>
          <wp:inline distT="0" distB="0" distL="0" distR="0" wp14:anchorId="382FC131" wp14:editId="1B1335B1">
            <wp:extent cx="1866900" cy="1244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6900" cy="1244600"/>
                    </a:xfrm>
                    <a:prstGeom prst="rect">
                      <a:avLst/>
                    </a:prstGeom>
                  </pic:spPr>
                </pic:pic>
              </a:graphicData>
            </a:graphic>
          </wp:inline>
        </w:drawing>
      </w:r>
    </w:p>
    <w:p w14:paraId="25350FB5" w14:textId="02F19221" w:rsidR="00887F45" w:rsidRPr="00942FAB" w:rsidRDefault="00942FAB" w:rsidP="00942FAB">
      <w:pPr>
        <w:jc w:val="center"/>
        <w:rPr>
          <w:b/>
          <w:bCs/>
          <w:sz w:val="36"/>
          <w:szCs w:val="36"/>
        </w:rPr>
      </w:pPr>
      <w:r>
        <w:rPr>
          <w:b/>
          <w:bCs/>
          <w:sz w:val="36"/>
          <w:szCs w:val="36"/>
        </w:rPr>
        <w:t>PROCEDURE</w:t>
      </w:r>
      <w:r w:rsidR="00EF672C">
        <w:rPr>
          <w:b/>
          <w:bCs/>
          <w:sz w:val="36"/>
          <w:szCs w:val="36"/>
        </w:rPr>
        <w:t xml:space="preserve"> PER IL RINNOVO DELLE RSU 2022</w:t>
      </w:r>
    </w:p>
    <w:p w14:paraId="283128CB" w14:textId="6E456F7F" w:rsidR="00982CBF" w:rsidRDefault="00EF672C" w:rsidP="00A156BF">
      <w:pPr>
        <w:rPr>
          <w:sz w:val="24"/>
          <w:szCs w:val="24"/>
        </w:rPr>
      </w:pPr>
      <w:r>
        <w:rPr>
          <w:sz w:val="24"/>
          <w:szCs w:val="24"/>
        </w:rPr>
        <w:t xml:space="preserve">La FLC CGIL di Lodi </w:t>
      </w:r>
      <w:r w:rsidR="00C23A90">
        <w:rPr>
          <w:sz w:val="24"/>
          <w:szCs w:val="24"/>
        </w:rPr>
        <w:t xml:space="preserve">annuncia l’avvio delle procedure elettorali per il rinnovo delle Rappresentanze Sindacali Unitarie </w:t>
      </w:r>
      <w:r>
        <w:rPr>
          <w:sz w:val="24"/>
          <w:szCs w:val="24"/>
        </w:rPr>
        <w:t>– Comparto “Istruzione e Ricerca”, previste per le date del 5</w:t>
      </w:r>
      <w:r w:rsidR="001B001C">
        <w:rPr>
          <w:sz w:val="24"/>
          <w:szCs w:val="24"/>
        </w:rPr>
        <w:t xml:space="preserve">, </w:t>
      </w:r>
      <w:r>
        <w:rPr>
          <w:sz w:val="24"/>
          <w:szCs w:val="24"/>
        </w:rPr>
        <w:t>6</w:t>
      </w:r>
      <w:r w:rsidR="001B001C">
        <w:rPr>
          <w:sz w:val="24"/>
          <w:szCs w:val="24"/>
        </w:rPr>
        <w:t xml:space="preserve"> e </w:t>
      </w:r>
      <w:r>
        <w:rPr>
          <w:sz w:val="24"/>
          <w:szCs w:val="24"/>
        </w:rPr>
        <w:t>7 aprile 2022</w:t>
      </w:r>
      <w:r w:rsidR="001B001C">
        <w:rPr>
          <w:sz w:val="24"/>
          <w:szCs w:val="24"/>
        </w:rPr>
        <w:t>, come definito dall’A.R.A.N. con la Circolare 1 del 27 gennaio 2022.</w:t>
      </w:r>
    </w:p>
    <w:p w14:paraId="21B8FCBA" w14:textId="4DBFB713" w:rsidR="001B001C" w:rsidRDefault="001B001C" w:rsidP="00A156BF">
      <w:pPr>
        <w:rPr>
          <w:b/>
          <w:bCs/>
          <w:sz w:val="24"/>
          <w:szCs w:val="24"/>
        </w:rPr>
      </w:pPr>
      <w:r>
        <w:rPr>
          <w:b/>
          <w:bCs/>
          <w:sz w:val="24"/>
          <w:szCs w:val="24"/>
        </w:rPr>
        <w:t>Calendario degli adempimenti e delle scadenze</w:t>
      </w:r>
    </w:p>
    <w:tbl>
      <w:tblPr>
        <w:tblStyle w:val="Grigliatabella"/>
        <w:tblW w:w="0" w:type="auto"/>
        <w:tblLook w:val="04A0" w:firstRow="1" w:lastRow="0" w:firstColumn="1" w:lastColumn="0" w:noHBand="0" w:noVBand="1"/>
      </w:tblPr>
      <w:tblGrid>
        <w:gridCol w:w="2235"/>
        <w:gridCol w:w="7543"/>
      </w:tblGrid>
      <w:tr w:rsidR="001B001C" w14:paraId="68F2E3AD" w14:textId="77777777" w:rsidTr="001B001C">
        <w:tc>
          <w:tcPr>
            <w:tcW w:w="2235" w:type="dxa"/>
          </w:tcPr>
          <w:p w14:paraId="179EBB52" w14:textId="19B6BA89" w:rsidR="001B001C" w:rsidRDefault="001B001C" w:rsidP="00A156BF">
            <w:pPr>
              <w:rPr>
                <w:b/>
                <w:bCs/>
                <w:sz w:val="24"/>
                <w:szCs w:val="24"/>
              </w:rPr>
            </w:pPr>
            <w:r>
              <w:rPr>
                <w:b/>
                <w:bCs/>
                <w:sz w:val="24"/>
                <w:szCs w:val="24"/>
              </w:rPr>
              <w:t>31 gennaio</w:t>
            </w:r>
          </w:p>
        </w:tc>
        <w:tc>
          <w:tcPr>
            <w:tcW w:w="7543" w:type="dxa"/>
          </w:tcPr>
          <w:p w14:paraId="3F84E931" w14:textId="663E8CC9" w:rsidR="001B001C" w:rsidRPr="001B001C" w:rsidRDefault="001B001C" w:rsidP="00A156BF">
            <w:pPr>
              <w:rPr>
                <w:sz w:val="24"/>
                <w:szCs w:val="24"/>
              </w:rPr>
            </w:pPr>
            <w:r>
              <w:rPr>
                <w:sz w:val="24"/>
                <w:szCs w:val="24"/>
              </w:rPr>
              <w:t>Annuncio delle elezioni da parte delle associazioni sindacali e contestuale inizio della procedura elettorale</w:t>
            </w:r>
          </w:p>
        </w:tc>
      </w:tr>
      <w:tr w:rsidR="001B001C" w14:paraId="71A61015" w14:textId="77777777" w:rsidTr="001B001C">
        <w:tc>
          <w:tcPr>
            <w:tcW w:w="2235" w:type="dxa"/>
          </w:tcPr>
          <w:p w14:paraId="49154CBF" w14:textId="0B775BC6" w:rsidR="001B001C" w:rsidRDefault="001B001C" w:rsidP="00A156BF">
            <w:pPr>
              <w:rPr>
                <w:b/>
                <w:bCs/>
                <w:sz w:val="24"/>
                <w:szCs w:val="24"/>
              </w:rPr>
            </w:pPr>
            <w:proofErr w:type="gramStart"/>
            <w:r>
              <w:rPr>
                <w:b/>
                <w:bCs/>
                <w:sz w:val="24"/>
                <w:szCs w:val="24"/>
              </w:rPr>
              <w:t>1 febbraio</w:t>
            </w:r>
            <w:proofErr w:type="gramEnd"/>
          </w:p>
        </w:tc>
        <w:tc>
          <w:tcPr>
            <w:tcW w:w="7543" w:type="dxa"/>
          </w:tcPr>
          <w:p w14:paraId="512E209D" w14:textId="5D9BFC25" w:rsidR="001B001C" w:rsidRPr="001B001C" w:rsidRDefault="001B001C" w:rsidP="00A156BF">
            <w:pPr>
              <w:rPr>
                <w:sz w:val="24"/>
                <w:szCs w:val="24"/>
              </w:rPr>
            </w:pPr>
            <w:r>
              <w:rPr>
                <w:sz w:val="24"/>
                <w:szCs w:val="24"/>
              </w:rPr>
              <w:t xml:space="preserve">Messa a disposizione, da parte delle Amministrazioni dell’elenco generale alfabetico </w:t>
            </w:r>
            <w:r w:rsidR="00BB30CB">
              <w:rPr>
                <w:sz w:val="24"/>
                <w:szCs w:val="24"/>
              </w:rPr>
              <w:t>degli elettori e consegna della relativa copia a tutte le organizzazioni sindacali che ne fanno richiesta. Contestuale inizio da parte delle organizzazioni sindacali della raccolta delle firme per la sottoscrizione delle liste che da questo momento potranno essere presentate</w:t>
            </w:r>
          </w:p>
        </w:tc>
      </w:tr>
      <w:tr w:rsidR="001B001C" w14:paraId="1540B903" w14:textId="77777777" w:rsidTr="001B001C">
        <w:tc>
          <w:tcPr>
            <w:tcW w:w="2235" w:type="dxa"/>
          </w:tcPr>
          <w:p w14:paraId="0AC3E8CC" w14:textId="03A1FCC5" w:rsidR="001B001C" w:rsidRDefault="00BB30CB" w:rsidP="00A156BF">
            <w:pPr>
              <w:rPr>
                <w:b/>
                <w:bCs/>
                <w:sz w:val="24"/>
                <w:szCs w:val="24"/>
              </w:rPr>
            </w:pPr>
            <w:proofErr w:type="gramStart"/>
            <w:r>
              <w:rPr>
                <w:b/>
                <w:bCs/>
                <w:sz w:val="24"/>
                <w:szCs w:val="24"/>
              </w:rPr>
              <w:t>1 febbraio</w:t>
            </w:r>
            <w:proofErr w:type="gramEnd"/>
          </w:p>
        </w:tc>
        <w:tc>
          <w:tcPr>
            <w:tcW w:w="7543" w:type="dxa"/>
          </w:tcPr>
          <w:p w14:paraId="18C694A2" w14:textId="0FDFAC5B" w:rsidR="001B001C" w:rsidRPr="001B001C" w:rsidRDefault="00BB30CB" w:rsidP="00A156BF">
            <w:pPr>
              <w:rPr>
                <w:sz w:val="24"/>
                <w:szCs w:val="24"/>
              </w:rPr>
            </w:pPr>
            <w:r>
              <w:rPr>
                <w:sz w:val="24"/>
                <w:szCs w:val="24"/>
              </w:rPr>
              <w:t>Inizio della presentazione delle liste</w:t>
            </w:r>
          </w:p>
        </w:tc>
      </w:tr>
      <w:tr w:rsidR="001B001C" w14:paraId="3A3454FF" w14:textId="77777777" w:rsidTr="001B001C">
        <w:tc>
          <w:tcPr>
            <w:tcW w:w="2235" w:type="dxa"/>
          </w:tcPr>
          <w:p w14:paraId="6F06575E" w14:textId="62C25949" w:rsidR="001B001C" w:rsidRDefault="00BB30CB" w:rsidP="00A156BF">
            <w:pPr>
              <w:rPr>
                <w:b/>
                <w:bCs/>
                <w:sz w:val="24"/>
                <w:szCs w:val="24"/>
              </w:rPr>
            </w:pPr>
            <w:r>
              <w:rPr>
                <w:b/>
                <w:bCs/>
                <w:sz w:val="24"/>
                <w:szCs w:val="24"/>
              </w:rPr>
              <w:t>10 febbraio</w:t>
            </w:r>
          </w:p>
        </w:tc>
        <w:tc>
          <w:tcPr>
            <w:tcW w:w="7543" w:type="dxa"/>
          </w:tcPr>
          <w:p w14:paraId="6152A297" w14:textId="12D144A8" w:rsidR="001B001C" w:rsidRPr="001B001C" w:rsidRDefault="00BB30CB" w:rsidP="00A156BF">
            <w:pPr>
              <w:rPr>
                <w:sz w:val="24"/>
                <w:szCs w:val="24"/>
              </w:rPr>
            </w:pPr>
            <w:r>
              <w:rPr>
                <w:sz w:val="24"/>
                <w:szCs w:val="24"/>
              </w:rPr>
              <w:t>Primo termine per l’insediamento della commissione elettorale</w:t>
            </w:r>
          </w:p>
        </w:tc>
      </w:tr>
      <w:tr w:rsidR="001B001C" w14:paraId="0F4533E4" w14:textId="77777777" w:rsidTr="001B001C">
        <w:tc>
          <w:tcPr>
            <w:tcW w:w="2235" w:type="dxa"/>
          </w:tcPr>
          <w:p w14:paraId="04AD81D3" w14:textId="21FDD2F5" w:rsidR="001B001C" w:rsidRDefault="00BB30CB" w:rsidP="00A156BF">
            <w:pPr>
              <w:rPr>
                <w:b/>
                <w:bCs/>
                <w:sz w:val="24"/>
                <w:szCs w:val="24"/>
              </w:rPr>
            </w:pPr>
            <w:r>
              <w:rPr>
                <w:b/>
                <w:bCs/>
                <w:sz w:val="24"/>
                <w:szCs w:val="24"/>
              </w:rPr>
              <w:t>16 febbraio</w:t>
            </w:r>
          </w:p>
        </w:tc>
        <w:tc>
          <w:tcPr>
            <w:tcW w:w="7543" w:type="dxa"/>
          </w:tcPr>
          <w:p w14:paraId="0F5A1E33" w14:textId="14D18AA6" w:rsidR="001B001C" w:rsidRPr="001B001C" w:rsidRDefault="00BB30CB" w:rsidP="00A156BF">
            <w:pPr>
              <w:rPr>
                <w:sz w:val="24"/>
                <w:szCs w:val="24"/>
              </w:rPr>
            </w:pPr>
            <w:r>
              <w:rPr>
                <w:sz w:val="24"/>
                <w:szCs w:val="24"/>
              </w:rPr>
              <w:t>Termine conclusivo per la costituzione formale della Commissione elettorale</w:t>
            </w:r>
          </w:p>
        </w:tc>
      </w:tr>
      <w:tr w:rsidR="001B001C" w14:paraId="248CEE66" w14:textId="77777777" w:rsidTr="001B001C">
        <w:tc>
          <w:tcPr>
            <w:tcW w:w="2235" w:type="dxa"/>
          </w:tcPr>
          <w:p w14:paraId="6CE46F7E" w14:textId="641CA3E4" w:rsidR="001B001C" w:rsidRDefault="00BB30CB" w:rsidP="00A156BF">
            <w:pPr>
              <w:rPr>
                <w:b/>
                <w:bCs/>
                <w:sz w:val="24"/>
                <w:szCs w:val="24"/>
              </w:rPr>
            </w:pPr>
            <w:r>
              <w:rPr>
                <w:b/>
                <w:bCs/>
                <w:sz w:val="24"/>
                <w:szCs w:val="24"/>
              </w:rPr>
              <w:t>25 febbraio</w:t>
            </w:r>
          </w:p>
        </w:tc>
        <w:tc>
          <w:tcPr>
            <w:tcW w:w="7543" w:type="dxa"/>
          </w:tcPr>
          <w:p w14:paraId="1296216C" w14:textId="31B06A05" w:rsidR="001B001C" w:rsidRPr="001B001C" w:rsidRDefault="00BB30CB" w:rsidP="00A156BF">
            <w:pPr>
              <w:rPr>
                <w:sz w:val="24"/>
                <w:szCs w:val="24"/>
              </w:rPr>
            </w:pPr>
            <w:r>
              <w:rPr>
                <w:sz w:val="24"/>
                <w:szCs w:val="24"/>
              </w:rPr>
              <w:t>Termine per la presentazione delle liste elettorali</w:t>
            </w:r>
          </w:p>
        </w:tc>
      </w:tr>
      <w:tr w:rsidR="001B001C" w14:paraId="0D2331E7" w14:textId="77777777" w:rsidTr="001B001C">
        <w:tc>
          <w:tcPr>
            <w:tcW w:w="2235" w:type="dxa"/>
          </w:tcPr>
          <w:p w14:paraId="4DA28171" w14:textId="6E58AF57" w:rsidR="001B001C" w:rsidRDefault="00BB30CB" w:rsidP="00A156BF">
            <w:pPr>
              <w:rPr>
                <w:b/>
                <w:bCs/>
                <w:sz w:val="24"/>
                <w:szCs w:val="24"/>
              </w:rPr>
            </w:pPr>
            <w:r>
              <w:rPr>
                <w:b/>
                <w:bCs/>
                <w:sz w:val="24"/>
                <w:szCs w:val="24"/>
              </w:rPr>
              <w:t>24 marzo</w:t>
            </w:r>
          </w:p>
        </w:tc>
        <w:tc>
          <w:tcPr>
            <w:tcW w:w="7543" w:type="dxa"/>
          </w:tcPr>
          <w:p w14:paraId="6E4CA357" w14:textId="1D2B53A8" w:rsidR="001B001C" w:rsidRPr="001B001C" w:rsidRDefault="00BB30CB" w:rsidP="00A156BF">
            <w:pPr>
              <w:rPr>
                <w:sz w:val="24"/>
                <w:szCs w:val="24"/>
              </w:rPr>
            </w:pPr>
            <w:r>
              <w:rPr>
                <w:sz w:val="24"/>
                <w:szCs w:val="24"/>
              </w:rPr>
              <w:t>Affissione delle liste elettorali da parte della Commissione</w:t>
            </w:r>
          </w:p>
        </w:tc>
      </w:tr>
      <w:tr w:rsidR="001B001C" w14:paraId="319B2C85" w14:textId="77777777" w:rsidTr="001B001C">
        <w:tc>
          <w:tcPr>
            <w:tcW w:w="2235" w:type="dxa"/>
          </w:tcPr>
          <w:p w14:paraId="18A58CD8" w14:textId="596B4669" w:rsidR="001B001C" w:rsidRDefault="00BB30CB" w:rsidP="001D320A">
            <w:pPr>
              <w:rPr>
                <w:b/>
                <w:bCs/>
                <w:sz w:val="24"/>
                <w:szCs w:val="24"/>
              </w:rPr>
            </w:pPr>
            <w:r>
              <w:rPr>
                <w:b/>
                <w:bCs/>
                <w:sz w:val="24"/>
                <w:szCs w:val="24"/>
              </w:rPr>
              <w:t>5,6 e 7 aprile</w:t>
            </w:r>
          </w:p>
        </w:tc>
        <w:tc>
          <w:tcPr>
            <w:tcW w:w="7543" w:type="dxa"/>
          </w:tcPr>
          <w:p w14:paraId="2218EF25" w14:textId="236B8990" w:rsidR="001B001C" w:rsidRPr="001B001C" w:rsidRDefault="00BB30CB" w:rsidP="001D320A">
            <w:pPr>
              <w:rPr>
                <w:sz w:val="24"/>
                <w:szCs w:val="24"/>
              </w:rPr>
            </w:pPr>
            <w:r>
              <w:rPr>
                <w:sz w:val="24"/>
                <w:szCs w:val="24"/>
              </w:rPr>
              <w:t>Votazioni</w:t>
            </w:r>
          </w:p>
        </w:tc>
      </w:tr>
      <w:tr w:rsidR="001B001C" w14:paraId="4FB8652C" w14:textId="77777777" w:rsidTr="001B001C">
        <w:tc>
          <w:tcPr>
            <w:tcW w:w="2235" w:type="dxa"/>
          </w:tcPr>
          <w:p w14:paraId="2907A822" w14:textId="0674C0DE" w:rsidR="001B001C" w:rsidRDefault="00BB30CB" w:rsidP="001D320A">
            <w:pPr>
              <w:rPr>
                <w:b/>
                <w:bCs/>
                <w:sz w:val="24"/>
                <w:szCs w:val="24"/>
              </w:rPr>
            </w:pPr>
            <w:r>
              <w:rPr>
                <w:b/>
                <w:bCs/>
                <w:sz w:val="24"/>
                <w:szCs w:val="24"/>
              </w:rPr>
              <w:t>8 aprile</w:t>
            </w:r>
          </w:p>
        </w:tc>
        <w:tc>
          <w:tcPr>
            <w:tcW w:w="7543" w:type="dxa"/>
          </w:tcPr>
          <w:p w14:paraId="25C9F493" w14:textId="5F07E2D7" w:rsidR="001B001C" w:rsidRPr="001B001C" w:rsidRDefault="00BB30CB" w:rsidP="001D320A">
            <w:pPr>
              <w:rPr>
                <w:sz w:val="24"/>
                <w:szCs w:val="24"/>
              </w:rPr>
            </w:pPr>
            <w:r>
              <w:rPr>
                <w:sz w:val="24"/>
                <w:szCs w:val="24"/>
              </w:rPr>
              <w:t>Scrutinio</w:t>
            </w:r>
          </w:p>
        </w:tc>
      </w:tr>
      <w:tr w:rsidR="001B001C" w14:paraId="43642F1A" w14:textId="77777777" w:rsidTr="001B001C">
        <w:tc>
          <w:tcPr>
            <w:tcW w:w="2235" w:type="dxa"/>
          </w:tcPr>
          <w:p w14:paraId="700E248B" w14:textId="58B26C36" w:rsidR="001B001C" w:rsidRDefault="00BB30CB" w:rsidP="001D320A">
            <w:pPr>
              <w:rPr>
                <w:b/>
                <w:bCs/>
                <w:sz w:val="24"/>
                <w:szCs w:val="24"/>
              </w:rPr>
            </w:pPr>
            <w:r>
              <w:rPr>
                <w:b/>
                <w:bCs/>
                <w:sz w:val="24"/>
                <w:szCs w:val="24"/>
              </w:rPr>
              <w:t>8-14 aprile</w:t>
            </w:r>
          </w:p>
        </w:tc>
        <w:tc>
          <w:tcPr>
            <w:tcW w:w="7543" w:type="dxa"/>
          </w:tcPr>
          <w:p w14:paraId="699CE759" w14:textId="774264D9" w:rsidR="001B001C" w:rsidRPr="001B001C" w:rsidRDefault="00BB30CB" w:rsidP="001D320A">
            <w:pPr>
              <w:rPr>
                <w:sz w:val="24"/>
                <w:szCs w:val="24"/>
              </w:rPr>
            </w:pPr>
            <w:r>
              <w:rPr>
                <w:sz w:val="24"/>
                <w:szCs w:val="24"/>
              </w:rPr>
              <w:t>Affissione risultati elettorali da parte della Commissione</w:t>
            </w:r>
          </w:p>
        </w:tc>
      </w:tr>
      <w:tr w:rsidR="001B001C" w14:paraId="3EEB7978" w14:textId="77777777" w:rsidTr="001B001C">
        <w:tc>
          <w:tcPr>
            <w:tcW w:w="2235" w:type="dxa"/>
          </w:tcPr>
          <w:p w14:paraId="756FD641" w14:textId="164CEFA6" w:rsidR="001B001C" w:rsidRDefault="00BB30CB" w:rsidP="001D320A">
            <w:pPr>
              <w:rPr>
                <w:b/>
                <w:bCs/>
                <w:sz w:val="24"/>
                <w:szCs w:val="24"/>
              </w:rPr>
            </w:pPr>
            <w:r>
              <w:rPr>
                <w:b/>
                <w:bCs/>
                <w:sz w:val="24"/>
                <w:szCs w:val="24"/>
              </w:rPr>
              <w:t>19-27 aprile</w:t>
            </w:r>
          </w:p>
        </w:tc>
        <w:tc>
          <w:tcPr>
            <w:tcW w:w="7543" w:type="dxa"/>
          </w:tcPr>
          <w:p w14:paraId="5E7B6556" w14:textId="44193F9B" w:rsidR="001B001C" w:rsidRPr="001B001C" w:rsidRDefault="00BB30CB" w:rsidP="001D320A">
            <w:pPr>
              <w:rPr>
                <w:sz w:val="24"/>
                <w:szCs w:val="24"/>
              </w:rPr>
            </w:pPr>
            <w:r>
              <w:rPr>
                <w:sz w:val="24"/>
                <w:szCs w:val="24"/>
              </w:rPr>
              <w:t>Invio, da parte delle Amministrazioni</w:t>
            </w:r>
            <w:r w:rsidR="00AB0B9E">
              <w:rPr>
                <w:sz w:val="24"/>
                <w:szCs w:val="24"/>
              </w:rPr>
              <w:t>, del verbale elettorale finale all’ARAN per il tramite dell’apposita piattaforma presente sul sito dell’Agenzia</w:t>
            </w:r>
          </w:p>
        </w:tc>
      </w:tr>
    </w:tbl>
    <w:p w14:paraId="4EDF438B" w14:textId="1CF08FD4" w:rsidR="001B001C" w:rsidRDefault="001B001C" w:rsidP="00A156BF">
      <w:pPr>
        <w:rPr>
          <w:b/>
          <w:bCs/>
          <w:sz w:val="24"/>
          <w:szCs w:val="24"/>
        </w:rPr>
      </w:pPr>
    </w:p>
    <w:p w14:paraId="37A90808" w14:textId="395C547A" w:rsidR="00C23A90" w:rsidRDefault="00C23A90" w:rsidP="00A156BF">
      <w:pPr>
        <w:rPr>
          <w:b/>
          <w:bCs/>
          <w:sz w:val="24"/>
          <w:szCs w:val="24"/>
        </w:rPr>
      </w:pPr>
      <w:r>
        <w:rPr>
          <w:b/>
          <w:bCs/>
          <w:sz w:val="24"/>
          <w:szCs w:val="24"/>
        </w:rPr>
        <w:t>La possibilità di candidarsi (elettorato passivo) è riconosciuta a:</w:t>
      </w:r>
    </w:p>
    <w:p w14:paraId="2621912E" w14:textId="7F4925EB" w:rsidR="00C23A90" w:rsidRDefault="00C23A90" w:rsidP="00A156BF">
      <w:pPr>
        <w:rPr>
          <w:b/>
          <w:bCs/>
          <w:sz w:val="24"/>
          <w:szCs w:val="24"/>
        </w:rPr>
      </w:pPr>
      <w:r>
        <w:rPr>
          <w:b/>
          <w:bCs/>
          <w:sz w:val="24"/>
          <w:szCs w:val="24"/>
        </w:rPr>
        <w:t>1) tutto il personale in servizio a tempo indeterminato (sia a tempo pieno che a tempo parziale);</w:t>
      </w:r>
    </w:p>
    <w:p w14:paraId="344092FF" w14:textId="2325B74A" w:rsidR="00C23A90" w:rsidRDefault="00C23A90" w:rsidP="00A156BF">
      <w:pPr>
        <w:rPr>
          <w:b/>
          <w:bCs/>
          <w:sz w:val="24"/>
          <w:szCs w:val="24"/>
        </w:rPr>
      </w:pPr>
      <w:r>
        <w:rPr>
          <w:b/>
          <w:bCs/>
          <w:sz w:val="24"/>
          <w:szCs w:val="24"/>
        </w:rPr>
        <w:t>2) i dipendenti con rapporto di lavoro a tempo determinato cui sia stato conferito un incarico annuale fino al termine dell’anno scolastico o fine al termine delle attività didattiche.</w:t>
      </w:r>
    </w:p>
    <w:p w14:paraId="78F55192" w14:textId="2B0316CF" w:rsidR="00C23A90" w:rsidRDefault="00942FAB" w:rsidP="00A156BF">
      <w:pPr>
        <w:rPr>
          <w:sz w:val="24"/>
          <w:szCs w:val="24"/>
        </w:rPr>
      </w:pPr>
      <w:r>
        <w:rPr>
          <w:sz w:val="24"/>
          <w:szCs w:val="24"/>
        </w:rPr>
        <w:t>Per informazioni e per rendersi disponibili alla candidatura alle elezioni RSU è possibile scrivere a:</w:t>
      </w:r>
    </w:p>
    <w:p w14:paraId="308ECCEE" w14:textId="56A3847F" w:rsidR="00942FAB" w:rsidRDefault="00942FAB" w:rsidP="00A156BF">
      <w:pPr>
        <w:rPr>
          <w:sz w:val="24"/>
          <w:szCs w:val="24"/>
        </w:rPr>
      </w:pPr>
      <w:hyperlink r:id="rId5" w:history="1">
        <w:r w:rsidRPr="00E54ECA">
          <w:rPr>
            <w:rStyle w:val="Collegamentoipertestuale"/>
            <w:sz w:val="24"/>
            <w:szCs w:val="24"/>
          </w:rPr>
          <w:t>lodi@flcgil.it</w:t>
        </w:r>
      </w:hyperlink>
      <w:r>
        <w:rPr>
          <w:sz w:val="24"/>
          <w:szCs w:val="24"/>
        </w:rPr>
        <w:t xml:space="preserve"> o contattare l’Ufficio della Segreteria FLC CGIL di Lodi al numero 0371 616056 da lunedì a giovedì dalle ore 15.00 alle ore 17.00</w:t>
      </w:r>
    </w:p>
    <w:p w14:paraId="5A1EE509" w14:textId="1EF64B8C" w:rsidR="00942FAB" w:rsidRDefault="00942FAB" w:rsidP="00A156BF">
      <w:pPr>
        <w:rPr>
          <w:sz w:val="24"/>
          <w:szCs w:val="24"/>
        </w:rPr>
      </w:pPr>
      <w:r>
        <w:rPr>
          <w:sz w:val="24"/>
          <w:szCs w:val="24"/>
        </w:rPr>
        <w:t xml:space="preserve">Lodi, </w:t>
      </w:r>
      <w:proofErr w:type="gramStart"/>
      <w:r>
        <w:rPr>
          <w:sz w:val="24"/>
          <w:szCs w:val="24"/>
        </w:rPr>
        <w:t>1 febbraio</w:t>
      </w:r>
      <w:proofErr w:type="gramEnd"/>
      <w:r>
        <w:rPr>
          <w:sz w:val="24"/>
          <w:szCs w:val="24"/>
        </w:rPr>
        <w:t xml:space="preserve"> 2022</w:t>
      </w:r>
    </w:p>
    <w:p w14:paraId="4EB4ABA8" w14:textId="4AFF8651" w:rsidR="00C23A90" w:rsidRPr="001B001C" w:rsidRDefault="00942FAB" w:rsidP="00A156BF">
      <w:pPr>
        <w:rPr>
          <w:b/>
          <w:bCs/>
          <w:sz w:val="24"/>
          <w:szCs w:val="24"/>
        </w:rPr>
      </w:pPr>
      <w:r w:rsidRPr="00942FAB">
        <w:rPr>
          <w:b/>
          <w:bCs/>
          <w:sz w:val="24"/>
          <w:szCs w:val="24"/>
        </w:rPr>
        <w:tab/>
      </w:r>
      <w:r w:rsidRPr="00942FAB">
        <w:rPr>
          <w:b/>
          <w:bCs/>
          <w:sz w:val="24"/>
          <w:szCs w:val="24"/>
        </w:rPr>
        <w:tab/>
      </w:r>
      <w:r w:rsidRPr="00942FAB">
        <w:rPr>
          <w:b/>
          <w:bCs/>
          <w:sz w:val="24"/>
          <w:szCs w:val="24"/>
        </w:rPr>
        <w:tab/>
      </w:r>
      <w:r w:rsidRPr="00942FAB">
        <w:rPr>
          <w:b/>
          <w:bCs/>
          <w:sz w:val="24"/>
          <w:szCs w:val="24"/>
        </w:rPr>
        <w:tab/>
      </w:r>
      <w:r w:rsidRPr="00942FAB">
        <w:rPr>
          <w:b/>
          <w:bCs/>
          <w:sz w:val="24"/>
          <w:szCs w:val="24"/>
        </w:rPr>
        <w:tab/>
      </w:r>
      <w:r w:rsidRPr="00942FAB">
        <w:rPr>
          <w:b/>
          <w:bCs/>
          <w:sz w:val="24"/>
          <w:szCs w:val="24"/>
        </w:rPr>
        <w:tab/>
      </w:r>
      <w:r w:rsidRPr="00942FAB">
        <w:rPr>
          <w:b/>
          <w:bCs/>
          <w:sz w:val="24"/>
          <w:szCs w:val="24"/>
        </w:rPr>
        <w:tab/>
      </w:r>
      <w:r w:rsidRPr="00942FAB">
        <w:rPr>
          <w:b/>
          <w:bCs/>
          <w:sz w:val="24"/>
          <w:szCs w:val="24"/>
        </w:rPr>
        <w:tab/>
        <w:t>La Segreteria della FLC CGIL di Lodi</w:t>
      </w:r>
    </w:p>
    <w:sectPr w:rsidR="00C23A90" w:rsidRPr="001B00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87F45"/>
    <w:rsid w:val="0002066F"/>
    <w:rsid w:val="00106A94"/>
    <w:rsid w:val="001B001C"/>
    <w:rsid w:val="002F7210"/>
    <w:rsid w:val="003B5605"/>
    <w:rsid w:val="004C79CB"/>
    <w:rsid w:val="00523F22"/>
    <w:rsid w:val="0058027B"/>
    <w:rsid w:val="007523BA"/>
    <w:rsid w:val="00887F45"/>
    <w:rsid w:val="00942FAB"/>
    <w:rsid w:val="00982CBF"/>
    <w:rsid w:val="00A156BF"/>
    <w:rsid w:val="00AB0B9E"/>
    <w:rsid w:val="00B61862"/>
    <w:rsid w:val="00BB30CB"/>
    <w:rsid w:val="00BC177F"/>
    <w:rsid w:val="00C23A90"/>
    <w:rsid w:val="00DC1C95"/>
    <w:rsid w:val="00E96D18"/>
    <w:rsid w:val="00EF6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74ED"/>
  <w15:chartTrackingRefBased/>
  <w15:docId w15:val="{173382E5-D765-48E9-A708-5FC502AE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56BF"/>
    <w:rPr>
      <w:color w:val="0563C1" w:themeColor="hyperlink"/>
      <w:u w:val="single"/>
    </w:rPr>
  </w:style>
  <w:style w:type="character" w:styleId="Menzionenonrisolta">
    <w:name w:val="Unresolved Mention"/>
    <w:basedOn w:val="Carpredefinitoparagrafo"/>
    <w:uiPriority w:val="99"/>
    <w:semiHidden/>
    <w:unhideWhenUsed/>
    <w:rsid w:val="00A156BF"/>
    <w:rPr>
      <w:color w:val="605E5C"/>
      <w:shd w:val="clear" w:color="auto" w:fill="E1DFDD"/>
    </w:rPr>
  </w:style>
  <w:style w:type="table" w:styleId="Grigliatabella">
    <w:name w:val="Table Grid"/>
    <w:basedOn w:val="Tabellanormale"/>
    <w:uiPriority w:val="39"/>
    <w:rsid w:val="0098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di@flcgil.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enad</dc:creator>
  <cp:keywords/>
  <dc:description/>
  <cp:lastModifiedBy>Marcello Albini</cp:lastModifiedBy>
  <cp:revision>2</cp:revision>
  <dcterms:created xsi:type="dcterms:W3CDTF">2022-02-01T20:50:00Z</dcterms:created>
  <dcterms:modified xsi:type="dcterms:W3CDTF">2022-02-01T20:50:00Z</dcterms:modified>
</cp:coreProperties>
</file>